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25F4" w14:textId="77777777" w:rsidR="00954C83" w:rsidRPr="00954C83" w:rsidRDefault="00954C83" w:rsidP="00954C83">
      <w:pPr>
        <w:rPr>
          <w:b/>
          <w:bCs/>
        </w:rPr>
      </w:pPr>
      <w:r w:rsidRPr="00954C83">
        <w:rPr>
          <w:b/>
          <w:bCs/>
        </w:rPr>
        <w:t>Summary of the Recreation Advisory Meeting Transcript</w:t>
      </w:r>
    </w:p>
    <w:p w14:paraId="36A5C407" w14:textId="45E4B823" w:rsidR="00954C83" w:rsidRPr="00954C83" w:rsidRDefault="00954C83" w:rsidP="00954C83">
      <w:r w:rsidRPr="00954C83">
        <w:t>The meeting, held on March 5, 2025, involved the Recreation Advisory Committee (RAC), Friends of Goochland Parks, and county staff, with a focus on initiating a Parks and Recreation Master Plan for Goochland County. Mike S</w:t>
      </w:r>
      <w:r w:rsidR="00DA34AA">
        <w:t>vetz</w:t>
      </w:r>
      <w:r w:rsidRPr="00954C83">
        <w:t xml:space="preserve"> from Pros Consulting, a firm hired to assist with the plan, presented the approach, emphasizing a realistic, implementable, and financially sustainable outcome. The process includes community engagement (focus groups, public meetings, and a statistically valid survey), park assessments, and analysis of service levels to address diverse needs across the county’s east and west sides.</w:t>
      </w:r>
    </w:p>
    <w:p w14:paraId="105E17D6" w14:textId="77777777" w:rsidR="00954C83" w:rsidRPr="00954C83" w:rsidRDefault="00954C83" w:rsidP="00954C83">
      <w:r w:rsidRPr="00954C83">
        <w:t>Key points from Mike’s presentation:</w:t>
      </w:r>
    </w:p>
    <w:p w14:paraId="04C537AD" w14:textId="77777777" w:rsidR="00954C83" w:rsidRPr="00954C83" w:rsidRDefault="00954C83" w:rsidP="00954C83">
      <w:pPr>
        <w:numPr>
          <w:ilvl w:val="0"/>
          <w:numId w:val="1"/>
        </w:numPr>
      </w:pPr>
      <w:r w:rsidRPr="00954C83">
        <w:t>The plan will prioritize community needs based on survey results, focusing on high-priority unmet needs (e.g., trails) and geographic/demographic differences.</w:t>
      </w:r>
    </w:p>
    <w:p w14:paraId="1CF58D8A" w14:textId="77777777" w:rsidR="00954C83" w:rsidRPr="00954C83" w:rsidRDefault="00954C83" w:rsidP="00954C83">
      <w:pPr>
        <w:numPr>
          <w:ilvl w:val="0"/>
          <w:numId w:val="1"/>
        </w:numPr>
      </w:pPr>
      <w:r w:rsidRPr="00954C83">
        <w:t>Park assessments will evaluate accessibility, safety, condition, and functionality, potentially repurposing underused amenities like horseshoe pits.</w:t>
      </w:r>
    </w:p>
    <w:p w14:paraId="1343A8A0" w14:textId="77777777" w:rsidR="00954C83" w:rsidRPr="00954C83" w:rsidRDefault="00954C83" w:rsidP="00954C83">
      <w:pPr>
        <w:numPr>
          <w:ilvl w:val="0"/>
          <w:numId w:val="1"/>
        </w:numPr>
      </w:pPr>
      <w:r w:rsidRPr="00954C83">
        <w:t>Financial sustainability will consider total cost of ownership and lifecycle replacement costs.</w:t>
      </w:r>
    </w:p>
    <w:p w14:paraId="25A8AC29" w14:textId="77777777" w:rsidR="00954C83" w:rsidRPr="00954C83" w:rsidRDefault="00954C83" w:rsidP="00954C83">
      <w:r w:rsidRPr="00954C83">
        <w:t>Tom Cocke, Director of Parks and Recreation, provided departmental updates:</w:t>
      </w:r>
    </w:p>
    <w:p w14:paraId="52E176E9" w14:textId="77777777" w:rsidR="00954C83" w:rsidRPr="00954C83" w:rsidRDefault="00954C83" w:rsidP="00954C83">
      <w:pPr>
        <w:numPr>
          <w:ilvl w:val="0"/>
          <w:numId w:val="2"/>
        </w:numPr>
      </w:pPr>
      <w:r w:rsidRPr="00954C83">
        <w:t>Budget: On track, with a restructured format for next year to clarify spending (e.g., summer camps, senior programs).</w:t>
      </w:r>
    </w:p>
    <w:p w14:paraId="2E9BB691" w14:textId="77777777" w:rsidR="00954C83" w:rsidRPr="00954C83" w:rsidRDefault="00954C83" w:rsidP="00954C83">
      <w:pPr>
        <w:numPr>
          <w:ilvl w:val="0"/>
          <w:numId w:val="2"/>
        </w:numPr>
      </w:pPr>
      <w:r w:rsidRPr="00954C83">
        <w:t>Facilities: A generator installation at the Goochland Sports Complex (GSC) is underway to enable it as an emergency shelter.</w:t>
      </w:r>
    </w:p>
    <w:p w14:paraId="26B79E10" w14:textId="77777777" w:rsidR="00954C83" w:rsidRPr="00954C83" w:rsidRDefault="00954C83" w:rsidP="00954C83">
      <w:pPr>
        <w:numPr>
          <w:ilvl w:val="0"/>
          <w:numId w:val="2"/>
        </w:numPr>
      </w:pPr>
      <w:r w:rsidRPr="00954C83">
        <w:t>Events: Successful fall/winter events (e.g., Tree Lighting, Santa Calling with 240 kids) and plans for 2025 events (e.g., Silent Disco, Extreme Egg Hunt, expanded Nights at Tucker).</w:t>
      </w:r>
    </w:p>
    <w:p w14:paraId="6D3786EE" w14:textId="77777777" w:rsidR="00954C83" w:rsidRPr="00954C83" w:rsidRDefault="00954C83" w:rsidP="00954C83">
      <w:pPr>
        <w:numPr>
          <w:ilvl w:val="0"/>
          <w:numId w:val="2"/>
        </w:numPr>
      </w:pPr>
      <w:r w:rsidRPr="00954C83">
        <w:t>Projects: A concession stand trailer is in progress (delivery expected by March), and RFPs are being prepared for a new Christmas tree and fireworks vendor.</w:t>
      </w:r>
    </w:p>
    <w:p w14:paraId="06403E5E" w14:textId="466564E4" w:rsidR="00954C83" w:rsidRDefault="00954C83" w:rsidP="00954C83">
      <w:r w:rsidRPr="00954C83">
        <w:t>Community feedback highlighted appreciation for park maintenance, homeschool programs, and partnerships (e.</w:t>
      </w:r>
      <w:r w:rsidR="00850C79">
        <w:t>g</w:t>
      </w:r>
      <w:r w:rsidRPr="00954C83">
        <w:t>., Rotary’s contributions). Concerns included ensuring survey accessibility and addressing underused amenities. The upcoming Community Connect event (March 6) aims to gather public input and promote the master plan process.</w:t>
      </w:r>
    </w:p>
    <w:p w14:paraId="57E272BA" w14:textId="77777777" w:rsidR="00954C83" w:rsidRPr="00954C83" w:rsidRDefault="00954C83" w:rsidP="00954C83"/>
    <w:p w14:paraId="69A550D2" w14:textId="77777777" w:rsidR="00954C83" w:rsidRPr="00954C83" w:rsidRDefault="00000000" w:rsidP="00954C83">
      <w:r>
        <w:pict w14:anchorId="13BEE252">
          <v:rect id="_x0000_i1025" style="width:0;height:1.5pt" o:hralign="center" o:hrstd="t" o:hr="t" fillcolor="#a0a0a0" stroked="f"/>
        </w:pict>
      </w:r>
    </w:p>
    <w:p w14:paraId="061A7CBB" w14:textId="77777777" w:rsidR="00954C83" w:rsidRPr="00954C83" w:rsidRDefault="00954C83" w:rsidP="00954C83">
      <w:pPr>
        <w:rPr>
          <w:b/>
          <w:bCs/>
        </w:rPr>
      </w:pPr>
      <w:r w:rsidRPr="00954C83">
        <w:rPr>
          <w:b/>
          <w:bCs/>
        </w:rPr>
        <w:lastRenderedPageBreak/>
        <w:t>Meeting Minutes for Public Distribution</w:t>
      </w:r>
    </w:p>
    <w:p w14:paraId="412FCFC0" w14:textId="7C765652" w:rsidR="00954C83" w:rsidRPr="00954C83" w:rsidRDefault="00954C83" w:rsidP="00954C83">
      <w:r w:rsidRPr="00954C83">
        <w:rPr>
          <w:b/>
          <w:bCs/>
        </w:rPr>
        <w:t>Goochland County Recreation Advisory Committee (RAC) Meeting</w:t>
      </w:r>
      <w:r w:rsidRPr="00954C83">
        <w:br/>
      </w:r>
      <w:r w:rsidRPr="00954C83">
        <w:rPr>
          <w:b/>
          <w:bCs/>
        </w:rPr>
        <w:t>Date:</w:t>
      </w:r>
      <w:r w:rsidRPr="00954C83">
        <w:t xml:space="preserve"> March 5, 2025</w:t>
      </w:r>
      <w:r w:rsidRPr="00954C83">
        <w:br/>
      </w:r>
      <w:r w:rsidRPr="00954C83">
        <w:rPr>
          <w:b/>
          <w:bCs/>
        </w:rPr>
        <w:t>Location:</w:t>
      </w:r>
      <w:r w:rsidRPr="00954C83">
        <w:t xml:space="preserve"> Goochland Sports Complex (GSC) Gymnasium</w:t>
      </w:r>
      <w:r w:rsidRPr="00954C83">
        <w:br/>
      </w:r>
      <w:r w:rsidRPr="00954C83">
        <w:rPr>
          <w:b/>
          <w:bCs/>
        </w:rPr>
        <w:t>Time:</w:t>
      </w:r>
      <w:r w:rsidRPr="00954C83">
        <w:t xml:space="preserve"> [Time not specified in transcript; assume evening based on context]</w:t>
      </w:r>
      <w:r w:rsidRPr="00954C83">
        <w:br/>
      </w:r>
      <w:r w:rsidRPr="00954C83">
        <w:rPr>
          <w:b/>
          <w:bCs/>
        </w:rPr>
        <w:t>Attendees:</w:t>
      </w:r>
      <w:r w:rsidRPr="00954C83">
        <w:t xml:space="preserve"> RAC members (Carrie Monger, Betsy Wright, Laverne Johnson, Larry Proffit, Brandy Sims), Friends of Goochland Parks (Christine Fauvre, Roscoe Fauvre</w:t>
      </w:r>
      <w:r>
        <w:t xml:space="preserve">, </w:t>
      </w:r>
      <w:r w:rsidRPr="00954C83">
        <w:t>Mark Williams, Kitty Kimmel), Parks and Recreation staff (Tom Cocke, Angelia Miller), Pros Consulting (Mike S</w:t>
      </w:r>
      <w:r>
        <w:t>vetz</w:t>
      </w:r>
      <w:r w:rsidRPr="00954C83">
        <w:t>), and public attendees.</w:t>
      </w:r>
    </w:p>
    <w:p w14:paraId="6241CCF8" w14:textId="77777777" w:rsidR="00954C83" w:rsidRPr="00954C83" w:rsidRDefault="00954C83" w:rsidP="00954C83">
      <w:r w:rsidRPr="00954C83">
        <w:rPr>
          <w:b/>
          <w:bCs/>
        </w:rPr>
        <w:t>1. Call to Order and Introductions</w:t>
      </w:r>
    </w:p>
    <w:p w14:paraId="1161263B" w14:textId="77777777" w:rsidR="00954C83" w:rsidRPr="00954C83" w:rsidRDefault="00954C83" w:rsidP="00954C83">
      <w:pPr>
        <w:numPr>
          <w:ilvl w:val="0"/>
          <w:numId w:val="3"/>
        </w:numPr>
      </w:pPr>
      <w:r w:rsidRPr="00954C83">
        <w:t>Tom Cocke welcomed attendees, noting the unique collaboration between RAC and Friends of Goochland Parks. Introductions followed, with members stating their roles and affiliations.</w:t>
      </w:r>
    </w:p>
    <w:p w14:paraId="57045AA2" w14:textId="78B51FDA" w:rsidR="00954C83" w:rsidRPr="00954C83" w:rsidRDefault="00954C83" w:rsidP="00954C83">
      <w:r w:rsidRPr="00954C83">
        <w:rPr>
          <w:b/>
          <w:bCs/>
        </w:rPr>
        <w:t>2. Master Plan Presentation (Mike S</w:t>
      </w:r>
      <w:r w:rsidR="00DA34AA">
        <w:rPr>
          <w:b/>
          <w:bCs/>
        </w:rPr>
        <w:t>vetz</w:t>
      </w:r>
      <w:r w:rsidRPr="00954C83">
        <w:rPr>
          <w:b/>
          <w:bCs/>
        </w:rPr>
        <w:t>, Pros Consulting)</w:t>
      </w:r>
    </w:p>
    <w:p w14:paraId="5D15D157" w14:textId="40D83B86" w:rsidR="00954C83" w:rsidRPr="00954C83" w:rsidRDefault="00954C83" w:rsidP="00954C83">
      <w:pPr>
        <w:numPr>
          <w:ilvl w:val="0"/>
          <w:numId w:val="4"/>
        </w:numPr>
      </w:pPr>
      <w:r w:rsidRPr="00954C83">
        <w:t>Mike S</w:t>
      </w:r>
      <w:r w:rsidR="00DA34AA">
        <w:t>vetz</w:t>
      </w:r>
      <w:r w:rsidRPr="00954C83">
        <w:t xml:space="preserve"> outlined the Parks and Recreation Master Plan process, the first outsourced effort for Goochland County, aimed at creating a realistic, implementable, and sustainable plan.</w:t>
      </w:r>
    </w:p>
    <w:p w14:paraId="290CE44D" w14:textId="77777777" w:rsidR="00954C83" w:rsidRPr="00954C83" w:rsidRDefault="00954C83" w:rsidP="00954C83">
      <w:pPr>
        <w:numPr>
          <w:ilvl w:val="0"/>
          <w:numId w:val="4"/>
        </w:numPr>
      </w:pPr>
      <w:r w:rsidRPr="00954C83">
        <w:t xml:space="preserve">Key components: </w:t>
      </w:r>
    </w:p>
    <w:p w14:paraId="6E9F34D0" w14:textId="77777777" w:rsidR="00954C83" w:rsidRPr="00954C83" w:rsidRDefault="00954C83" w:rsidP="00954C83">
      <w:pPr>
        <w:numPr>
          <w:ilvl w:val="1"/>
          <w:numId w:val="4"/>
        </w:numPr>
      </w:pPr>
      <w:r w:rsidRPr="00954C83">
        <w:t>Community engagement via focus groups, public meetings (e.g., March 6 Community Connect event), and a statistically valid survey targeting 375 households.</w:t>
      </w:r>
    </w:p>
    <w:p w14:paraId="6CB9FD68" w14:textId="77777777" w:rsidR="00954C83" w:rsidRPr="00954C83" w:rsidRDefault="00954C83" w:rsidP="00954C83">
      <w:pPr>
        <w:numPr>
          <w:ilvl w:val="1"/>
          <w:numId w:val="4"/>
        </w:numPr>
      </w:pPr>
      <w:r w:rsidRPr="00954C83">
        <w:t>Park assessments to evaluate accessibility, safety, condition, and functionality, with potential repurposing of underused amenities (e.g., horseshoe pits).</w:t>
      </w:r>
    </w:p>
    <w:p w14:paraId="363B63B6" w14:textId="77777777" w:rsidR="00954C83" w:rsidRPr="00954C83" w:rsidRDefault="00954C83" w:rsidP="00954C83">
      <w:pPr>
        <w:numPr>
          <w:ilvl w:val="1"/>
          <w:numId w:val="4"/>
        </w:numPr>
      </w:pPr>
      <w:r w:rsidRPr="00954C83">
        <w:t>Analysis of service levels to address geographic and demographic differences (east vs. west county).</w:t>
      </w:r>
    </w:p>
    <w:p w14:paraId="1F6D0A5F" w14:textId="77777777" w:rsidR="00954C83" w:rsidRPr="00954C83" w:rsidRDefault="00954C83" w:rsidP="00954C83">
      <w:pPr>
        <w:numPr>
          <w:ilvl w:val="1"/>
          <w:numId w:val="4"/>
        </w:numPr>
      </w:pPr>
      <w:r w:rsidRPr="00954C83">
        <w:t>Financial sustainability through total cost of ownership and lifecycle replacement planning.</w:t>
      </w:r>
    </w:p>
    <w:p w14:paraId="35339C67" w14:textId="77777777" w:rsidR="00954C83" w:rsidRPr="00954C83" w:rsidRDefault="00954C83" w:rsidP="00954C83">
      <w:pPr>
        <w:numPr>
          <w:ilvl w:val="0"/>
          <w:numId w:val="4"/>
        </w:numPr>
      </w:pPr>
      <w:r w:rsidRPr="00954C83">
        <w:t>Survey dissemination will use mail, text, and email, with efforts to ensure representation from all areas despite connectivity challenges in the west.</w:t>
      </w:r>
    </w:p>
    <w:p w14:paraId="1803F69C" w14:textId="0DBB4EF9" w:rsidR="00954C83" w:rsidRDefault="00954C83" w:rsidP="00954C83">
      <w:pPr>
        <w:numPr>
          <w:ilvl w:val="0"/>
          <w:numId w:val="4"/>
        </w:numPr>
      </w:pPr>
      <w:r w:rsidRPr="00954C83">
        <w:t>Timeline: Updates to RAC and public in May, July, and September, with adoption by the Board of Supervisors targeted before Thanksgiving 2025.</w:t>
      </w:r>
    </w:p>
    <w:p w14:paraId="4F3F13AD" w14:textId="77777777" w:rsidR="00954C83" w:rsidRPr="00954C83" w:rsidRDefault="00954C83" w:rsidP="00954C83"/>
    <w:p w14:paraId="6B187451" w14:textId="77777777" w:rsidR="00954C83" w:rsidRPr="00954C83" w:rsidRDefault="00954C83" w:rsidP="00954C83">
      <w:r w:rsidRPr="00954C83">
        <w:rPr>
          <w:b/>
          <w:bCs/>
        </w:rPr>
        <w:t>3. Department Reports (Tom Cocke, Director of Parks and Recreation)</w:t>
      </w:r>
    </w:p>
    <w:p w14:paraId="243349BA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Budget:</w:t>
      </w:r>
      <w:r w:rsidRPr="00954C83">
        <w:t xml:space="preserve"> On track for the current year; next year’s budget maintains current funding levels with a restructured format for clarity (e.g., separating summer camps, senior programs).</w:t>
      </w:r>
    </w:p>
    <w:p w14:paraId="5EA0399D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Facilities:</w:t>
      </w:r>
      <w:r w:rsidRPr="00954C83">
        <w:t xml:space="preserve"> Generator installation at GSC has begun to enable its use as an emergency shelter, complementing the existing generator at the Central facility.</w:t>
      </w:r>
    </w:p>
    <w:p w14:paraId="43CF1C18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Events:</w:t>
      </w:r>
      <w:r w:rsidRPr="00954C83">
        <w:t xml:space="preserve"> </w:t>
      </w:r>
    </w:p>
    <w:p w14:paraId="7B75994F" w14:textId="77777777" w:rsidR="00954C83" w:rsidRPr="00954C83" w:rsidRDefault="00954C83" w:rsidP="00954C83">
      <w:pPr>
        <w:numPr>
          <w:ilvl w:val="1"/>
          <w:numId w:val="5"/>
        </w:numPr>
      </w:pPr>
      <w:r w:rsidRPr="00954C83">
        <w:t>Fall/winter events (e.g., Tree Lighting, Santa Calling with 240 kids and 30 Santas) were successful despite cold weather.</w:t>
      </w:r>
    </w:p>
    <w:p w14:paraId="69876EAC" w14:textId="77777777" w:rsidR="00954C83" w:rsidRPr="00954C83" w:rsidRDefault="00954C83" w:rsidP="00954C83">
      <w:pPr>
        <w:numPr>
          <w:ilvl w:val="1"/>
          <w:numId w:val="5"/>
        </w:numPr>
      </w:pPr>
      <w:r w:rsidRPr="00954C83">
        <w:t>2025 events include Silent Disco (ages 7-13), Extreme Egg Hunt, and seven Nights at Tucker concerts (up from three), supported by budget reallocations and sponsorship efforts.</w:t>
      </w:r>
    </w:p>
    <w:p w14:paraId="0BADA9CF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Projects:</w:t>
      </w:r>
      <w:r w:rsidRPr="00954C83">
        <w:t xml:space="preserve"> </w:t>
      </w:r>
    </w:p>
    <w:p w14:paraId="20581E34" w14:textId="77777777" w:rsidR="00954C83" w:rsidRPr="00954C83" w:rsidRDefault="00954C83" w:rsidP="00954C83">
      <w:pPr>
        <w:numPr>
          <w:ilvl w:val="1"/>
          <w:numId w:val="5"/>
        </w:numPr>
      </w:pPr>
      <w:r w:rsidRPr="00954C83">
        <w:t>Concession stand trailer ordered, expected delivery by March 2025 for GYA football season.</w:t>
      </w:r>
    </w:p>
    <w:p w14:paraId="6F8B669D" w14:textId="77777777" w:rsidR="00954C83" w:rsidRPr="00954C83" w:rsidRDefault="00954C83" w:rsidP="00954C83">
      <w:pPr>
        <w:numPr>
          <w:ilvl w:val="1"/>
          <w:numId w:val="5"/>
        </w:numPr>
      </w:pPr>
      <w:r w:rsidRPr="00954C83">
        <w:t>RFPs in progress for a new Christmas tree (current tree nearing end of life) and fireworks vendor (to explore cost-saving options, including alternate dates).</w:t>
      </w:r>
    </w:p>
    <w:p w14:paraId="51EC77F1" w14:textId="77777777" w:rsidR="00954C83" w:rsidRPr="00954C83" w:rsidRDefault="00954C83" w:rsidP="00954C83">
      <w:pPr>
        <w:numPr>
          <w:ilvl w:val="1"/>
          <w:numId w:val="5"/>
        </w:numPr>
      </w:pPr>
      <w:r w:rsidRPr="00954C83">
        <w:t>Rental agreement updates paused pending master plan insights.</w:t>
      </w:r>
    </w:p>
    <w:p w14:paraId="77C22965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Grounds:</w:t>
      </w:r>
      <w:r w:rsidRPr="00954C83">
        <w:t xml:space="preserve"> Staff managed snow removal and water distribution during recent emergencies; exploring equipment purchases (e.g., skid steer) for efficiency.</w:t>
      </w:r>
    </w:p>
    <w:p w14:paraId="6EBB0784" w14:textId="77777777" w:rsidR="00954C83" w:rsidRPr="00954C83" w:rsidRDefault="00954C83" w:rsidP="00954C83">
      <w:pPr>
        <w:numPr>
          <w:ilvl w:val="0"/>
          <w:numId w:val="5"/>
        </w:numPr>
      </w:pPr>
      <w:r w:rsidRPr="00954C83">
        <w:rPr>
          <w:b/>
          <w:bCs/>
        </w:rPr>
        <w:t>Programs:</w:t>
      </w:r>
      <w:r w:rsidRPr="00954C83">
        <w:t xml:space="preserve"> Youth basketball has 280 participants, including a strong all-girls division (ages 8-11); summer camp registration opens end of March.</w:t>
      </w:r>
    </w:p>
    <w:p w14:paraId="181C4EAA" w14:textId="77777777" w:rsidR="00954C83" w:rsidRPr="00954C83" w:rsidRDefault="00954C83" w:rsidP="00954C83">
      <w:r w:rsidRPr="00954C83">
        <w:rPr>
          <w:b/>
          <w:bCs/>
        </w:rPr>
        <w:t>4. Public Comment</w:t>
      </w:r>
    </w:p>
    <w:p w14:paraId="11027F0A" w14:textId="77777777" w:rsidR="00954C83" w:rsidRPr="00954C83" w:rsidRDefault="00954C83" w:rsidP="00954C83">
      <w:pPr>
        <w:numPr>
          <w:ilvl w:val="0"/>
          <w:numId w:val="6"/>
        </w:numPr>
      </w:pPr>
      <w:r w:rsidRPr="00954C83">
        <w:t>Attendees praised park maintenance, homeschool programs (e.g., Leakes Mill, Hidden Rock), and community partnerships (e.g., Rotary’s horseshoe pits donation).</w:t>
      </w:r>
    </w:p>
    <w:p w14:paraId="27D06DB6" w14:textId="77777777" w:rsidR="00954C83" w:rsidRDefault="00954C83" w:rsidP="00954C83">
      <w:pPr>
        <w:numPr>
          <w:ilvl w:val="0"/>
          <w:numId w:val="6"/>
        </w:numPr>
      </w:pPr>
      <w:r w:rsidRPr="00954C83">
        <w:t>Suggestions included ensuring survey awareness, tracking out-of-county usage (e.g., via Placer AI), and enhancing river access and unique amenities (e.g., pump tracks).</w:t>
      </w:r>
    </w:p>
    <w:p w14:paraId="32FCAA47" w14:textId="77777777" w:rsidR="00954C83" w:rsidRPr="00954C83" w:rsidRDefault="00954C83" w:rsidP="00954C83"/>
    <w:p w14:paraId="020DB91C" w14:textId="77777777" w:rsidR="00954C83" w:rsidRPr="00954C83" w:rsidRDefault="00954C83" w:rsidP="00954C83">
      <w:r w:rsidRPr="00954C83">
        <w:rPr>
          <w:b/>
          <w:bCs/>
        </w:rPr>
        <w:t>5. Wall of Fame Nominations</w:t>
      </w:r>
    </w:p>
    <w:p w14:paraId="6383206A" w14:textId="77777777" w:rsidR="00954C83" w:rsidRPr="00954C83" w:rsidRDefault="00954C83" w:rsidP="00954C83">
      <w:pPr>
        <w:numPr>
          <w:ilvl w:val="0"/>
          <w:numId w:val="7"/>
        </w:numPr>
      </w:pPr>
      <w:r w:rsidRPr="00954C83">
        <w:t>Nominations remain open (one received); deadline extended to encourage submissions. RAC will review and vote on the annual honoree.</w:t>
      </w:r>
    </w:p>
    <w:p w14:paraId="387F7A06" w14:textId="77777777" w:rsidR="00954C83" w:rsidRPr="00954C83" w:rsidRDefault="00954C83" w:rsidP="00954C83">
      <w:r w:rsidRPr="00954C83">
        <w:rPr>
          <w:b/>
          <w:bCs/>
        </w:rPr>
        <w:t>6. Upcoming Events</w:t>
      </w:r>
    </w:p>
    <w:p w14:paraId="0D78F7CC" w14:textId="77777777" w:rsidR="00954C83" w:rsidRPr="00954C83" w:rsidRDefault="00954C83" w:rsidP="00954C83">
      <w:pPr>
        <w:numPr>
          <w:ilvl w:val="0"/>
          <w:numId w:val="8"/>
        </w:numPr>
      </w:pPr>
      <w:r w:rsidRPr="00954C83">
        <w:rPr>
          <w:b/>
          <w:bCs/>
        </w:rPr>
        <w:t>Community Connect Event:</w:t>
      </w:r>
      <w:r w:rsidRPr="00954C83">
        <w:t xml:space="preserve"> March 6, 6-7 PM at GSC Gymnasium. Features a master plan overview, public feedback session, and stakeholder expo tables.</w:t>
      </w:r>
    </w:p>
    <w:p w14:paraId="74C708C0" w14:textId="77777777" w:rsidR="00954C83" w:rsidRPr="00954C83" w:rsidRDefault="00954C83" w:rsidP="00954C83">
      <w:r w:rsidRPr="00954C83">
        <w:rPr>
          <w:b/>
          <w:bCs/>
        </w:rPr>
        <w:t>7. Adjournment</w:t>
      </w:r>
    </w:p>
    <w:p w14:paraId="12A79E12" w14:textId="77777777" w:rsidR="00954C83" w:rsidRPr="00954C83" w:rsidRDefault="00954C83" w:rsidP="00954C83">
      <w:pPr>
        <w:numPr>
          <w:ilvl w:val="0"/>
          <w:numId w:val="9"/>
        </w:numPr>
      </w:pPr>
      <w:r w:rsidRPr="00954C83">
        <w:t>Meeting adjourned [time not specified]; next updates scheduled for May 2025.</w:t>
      </w:r>
    </w:p>
    <w:p w14:paraId="4F5AB543" w14:textId="3BC533E0" w:rsidR="000848A3" w:rsidRDefault="00954C83" w:rsidP="00954C83">
      <w:r w:rsidRPr="00954C83">
        <w:rPr>
          <w:b/>
          <w:bCs/>
        </w:rPr>
        <w:t>Minutes Prepared By:</w:t>
      </w:r>
      <w:r w:rsidRPr="00954C83">
        <w:t xml:space="preserve"> </w:t>
      </w:r>
      <w:r w:rsidR="000848A3">
        <w:t>Angelia Miller</w:t>
      </w:r>
    </w:p>
    <w:p w14:paraId="4367D6CE" w14:textId="13200B35" w:rsidR="00954C83" w:rsidRDefault="00954C83" w:rsidP="00954C83">
      <w:r w:rsidRPr="00954C83">
        <w:rPr>
          <w:b/>
          <w:bCs/>
        </w:rPr>
        <w:t>Contact:</w:t>
      </w:r>
      <w:r w:rsidRPr="00954C83">
        <w:t xml:space="preserve"> Goochland County Parks and Recreation, </w:t>
      </w:r>
      <w:hyperlink r:id="rId5" w:history="1">
        <w:r w:rsidR="000848A3" w:rsidRPr="00D00BB0">
          <w:rPr>
            <w:rStyle w:val="Hyperlink"/>
          </w:rPr>
          <w:t>gcpr@goochlandva.us</w:t>
        </w:r>
      </w:hyperlink>
    </w:p>
    <w:p w14:paraId="7A1C76EF" w14:textId="77777777" w:rsidR="000848A3" w:rsidRPr="00954C83" w:rsidRDefault="000848A3" w:rsidP="00954C83"/>
    <w:p w14:paraId="5D745E09" w14:textId="77777777" w:rsidR="009B1A0E" w:rsidRDefault="009B1A0E"/>
    <w:sectPr w:rsidR="009B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65A"/>
    <w:multiLevelType w:val="multilevel"/>
    <w:tmpl w:val="3438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7603"/>
    <w:multiLevelType w:val="multilevel"/>
    <w:tmpl w:val="5B14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B3571"/>
    <w:multiLevelType w:val="multilevel"/>
    <w:tmpl w:val="DE9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165F"/>
    <w:multiLevelType w:val="multilevel"/>
    <w:tmpl w:val="025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40749"/>
    <w:multiLevelType w:val="multilevel"/>
    <w:tmpl w:val="707E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7259B"/>
    <w:multiLevelType w:val="multilevel"/>
    <w:tmpl w:val="AD6E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75143"/>
    <w:multiLevelType w:val="multilevel"/>
    <w:tmpl w:val="953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66E8"/>
    <w:multiLevelType w:val="multilevel"/>
    <w:tmpl w:val="25AA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31E3C"/>
    <w:multiLevelType w:val="multilevel"/>
    <w:tmpl w:val="361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271917">
    <w:abstractNumId w:val="4"/>
  </w:num>
  <w:num w:numId="2" w16cid:durableId="26562630">
    <w:abstractNumId w:val="2"/>
  </w:num>
  <w:num w:numId="3" w16cid:durableId="1114522271">
    <w:abstractNumId w:val="7"/>
  </w:num>
  <w:num w:numId="4" w16cid:durableId="1115759249">
    <w:abstractNumId w:val="0"/>
  </w:num>
  <w:num w:numId="5" w16cid:durableId="1378316192">
    <w:abstractNumId w:val="6"/>
  </w:num>
  <w:num w:numId="6" w16cid:durableId="1568951903">
    <w:abstractNumId w:val="1"/>
  </w:num>
  <w:num w:numId="7" w16cid:durableId="1625386376">
    <w:abstractNumId w:val="8"/>
  </w:num>
  <w:num w:numId="8" w16cid:durableId="663051291">
    <w:abstractNumId w:val="3"/>
  </w:num>
  <w:num w:numId="9" w16cid:durableId="1755777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83"/>
    <w:rsid w:val="000848A3"/>
    <w:rsid w:val="00545591"/>
    <w:rsid w:val="005E4338"/>
    <w:rsid w:val="00777E73"/>
    <w:rsid w:val="00850C79"/>
    <w:rsid w:val="00954C83"/>
    <w:rsid w:val="009B1A0E"/>
    <w:rsid w:val="00D4006E"/>
    <w:rsid w:val="00DA34AA"/>
    <w:rsid w:val="00EF306B"/>
    <w:rsid w:val="00F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00D6"/>
  <w15:chartTrackingRefBased/>
  <w15:docId w15:val="{5F2B802E-47A2-4830-8001-D9B34058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48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pr@goochland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Links>
    <vt:vector size="6" baseType="variant"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mailto:gcpr@goochlandva.us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Angelia</dc:creator>
  <cp:keywords/>
  <dc:description/>
  <cp:lastModifiedBy>Miller, Angelia</cp:lastModifiedBy>
  <cp:revision>7</cp:revision>
  <dcterms:created xsi:type="dcterms:W3CDTF">2025-03-05T22:47:00Z</dcterms:created>
  <dcterms:modified xsi:type="dcterms:W3CDTF">2025-03-27T22:28:00Z</dcterms:modified>
</cp:coreProperties>
</file>